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59215C95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F577F9" w:rsidRDefault="00967E98" w:rsidP="00967E98">
      <w:pPr>
        <w:pStyle w:val="1"/>
        <w:jc w:val="center"/>
        <w:rPr>
          <w:sz w:val="16"/>
          <w:szCs w:val="16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F577F9" w:rsidRDefault="00967E98" w:rsidP="00967E98">
      <w:pPr>
        <w:pStyle w:val="1"/>
        <w:jc w:val="center"/>
        <w:rPr>
          <w:sz w:val="16"/>
          <w:szCs w:val="16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F577F9" w:rsidRDefault="00C0066E" w:rsidP="009204BF">
      <w:pPr>
        <w:jc w:val="center"/>
        <w:rPr>
          <w:sz w:val="16"/>
          <w:szCs w:val="16"/>
        </w:rPr>
      </w:pPr>
    </w:p>
    <w:p w14:paraId="16172372" w14:textId="1FEE5046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57120A">
        <w:rPr>
          <w:sz w:val="28"/>
          <w:szCs w:val="28"/>
        </w:rPr>
        <w:t>2</w:t>
      </w:r>
      <w:r w:rsidR="00741460">
        <w:rPr>
          <w:sz w:val="28"/>
          <w:szCs w:val="28"/>
          <w:lang w:val="en-US"/>
        </w:rPr>
        <w:t>4</w:t>
      </w:r>
      <w:r w:rsidR="004516A7">
        <w:rPr>
          <w:sz w:val="28"/>
          <w:szCs w:val="28"/>
        </w:rPr>
        <w:t>.</w:t>
      </w:r>
      <w:r w:rsidR="0057120A">
        <w:rPr>
          <w:sz w:val="28"/>
          <w:szCs w:val="28"/>
        </w:rPr>
        <w:t>11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57120A">
        <w:rPr>
          <w:sz w:val="28"/>
          <w:szCs w:val="28"/>
        </w:rPr>
        <w:t>29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636BDA72" w:rsidR="005C511F" w:rsidRPr="00F577F9" w:rsidRDefault="005C511F" w:rsidP="00477130">
      <w:pPr>
        <w:rPr>
          <w:sz w:val="16"/>
          <w:szCs w:val="16"/>
        </w:rPr>
      </w:pPr>
    </w:p>
    <w:p w14:paraId="42C7B84B" w14:textId="49BD2403" w:rsidR="00E50D18" w:rsidRDefault="007619FB" w:rsidP="007619FB">
      <w:pPr>
        <w:ind w:right="4678"/>
        <w:jc w:val="both"/>
        <w:rPr>
          <w:sz w:val="28"/>
          <w:szCs w:val="28"/>
        </w:rPr>
      </w:pPr>
      <w:r w:rsidRPr="007619FB">
        <w:rPr>
          <w:sz w:val="28"/>
          <w:szCs w:val="28"/>
        </w:rPr>
        <w:t xml:space="preserve">Об утверждении Положения </w:t>
      </w:r>
      <w:r w:rsidR="008F34B4" w:rsidRPr="008F34B4">
        <w:rPr>
          <w:sz w:val="28"/>
          <w:szCs w:val="28"/>
        </w:rPr>
        <w:t xml:space="preserve">об осуществлении муниципального </w:t>
      </w:r>
      <w:r w:rsidR="008F34B4">
        <w:rPr>
          <w:sz w:val="28"/>
          <w:szCs w:val="28"/>
        </w:rPr>
        <w:t xml:space="preserve">жилищного </w:t>
      </w:r>
      <w:r w:rsidR="008F34B4" w:rsidRPr="008F34B4">
        <w:rPr>
          <w:sz w:val="28"/>
          <w:szCs w:val="28"/>
        </w:rPr>
        <w:t>контроля в границах населенных пунктов сельского поселения Цингалы</w:t>
      </w:r>
    </w:p>
    <w:p w14:paraId="02F5E99F" w14:textId="77777777" w:rsidR="00D55EAD" w:rsidRPr="00F577F9" w:rsidRDefault="00D55EAD" w:rsidP="005C511F">
      <w:pPr>
        <w:rPr>
          <w:sz w:val="16"/>
          <w:szCs w:val="16"/>
        </w:rPr>
      </w:pPr>
    </w:p>
    <w:p w14:paraId="17C65122" w14:textId="18F79C3E" w:rsidR="00DB107C" w:rsidRDefault="007619F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19FB">
        <w:rPr>
          <w:sz w:val="28"/>
          <w:szCs w:val="28"/>
        </w:rPr>
        <w:t xml:space="preserve">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20 части 1 статьи 14 Федерального закона от 06.10.2003 № 131-ФЗ «Об общих принципах организации местного самоуправления в Российской Федерации», статьей 1 Закона Ханты-Мансийского автономного округа – Югры от 26.09.2014 № 78-оз «Об отдельных вопросах организации местного самоуправления в Ханты-Мансийском автономном округе – Югре», </w:t>
      </w:r>
      <w:r w:rsidR="00641DA2" w:rsidRPr="00641DA2">
        <w:rPr>
          <w:sz w:val="28"/>
          <w:szCs w:val="28"/>
        </w:rPr>
        <w:t xml:space="preserve">руководствуясь Уставом сельского поселения </w:t>
      </w:r>
      <w:r w:rsidR="00641DA2">
        <w:rPr>
          <w:sz w:val="28"/>
          <w:szCs w:val="28"/>
        </w:rPr>
        <w:t>Цингалы</w:t>
      </w:r>
      <w:r w:rsidR="00641DA2" w:rsidRPr="00641DA2">
        <w:rPr>
          <w:sz w:val="28"/>
          <w:szCs w:val="28"/>
        </w:rPr>
        <w:t>,</w:t>
      </w:r>
    </w:p>
    <w:p w14:paraId="1BA36806" w14:textId="77777777" w:rsidR="007937A1" w:rsidRPr="00F577F9" w:rsidRDefault="007937A1" w:rsidP="006C5E6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F577F9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16"/>
          <w:szCs w:val="16"/>
          <w:lang w:val="ru-RU" w:eastAsia="ru-RU" w:bidi="ar-SA"/>
        </w:rPr>
      </w:pPr>
    </w:p>
    <w:p w14:paraId="2FFB427E" w14:textId="16899347" w:rsidR="00641DA2" w:rsidRDefault="00641DA2" w:rsidP="007619F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8F34B4" w:rsidRPr="008F34B4">
        <w:rPr>
          <w:rFonts w:ascii="Times New Roman" w:hAnsi="Times New Roman" w:cs="Times New Roman"/>
          <w:sz w:val="28"/>
          <w:szCs w:val="28"/>
        </w:rPr>
        <w:t>об осуществлении муниципального жилищного контроля в границах населенных пунктов сельского поселения Цингалы</w:t>
      </w:r>
      <w:r w:rsidR="00885FC2">
        <w:rPr>
          <w:rFonts w:ascii="Times New Roman" w:hAnsi="Times New Roman" w:cs="Times New Roman"/>
          <w:sz w:val="28"/>
          <w:szCs w:val="28"/>
        </w:rPr>
        <w:t>;</w:t>
      </w:r>
    </w:p>
    <w:p w14:paraId="6D0701A8" w14:textId="77777777" w:rsidR="00A6613C" w:rsidRPr="00F577F9" w:rsidRDefault="00A6613C" w:rsidP="00A6613C">
      <w:pPr>
        <w:pStyle w:val="ConsPlusNormal"/>
        <w:tabs>
          <w:tab w:val="left" w:pos="993"/>
        </w:tabs>
        <w:ind w:left="708" w:firstLine="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14:paraId="0AAC3ACF" w14:textId="068B56EB" w:rsidR="00E756D8" w:rsidRPr="00885FC2" w:rsidRDefault="00641DA2" w:rsidP="00885FC2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A043AB">
        <w:rPr>
          <w:rFonts w:ascii="Times New Roman" w:hAnsi="Times New Roman" w:cs="Times New Roman"/>
          <w:sz w:val="28"/>
          <w:szCs w:val="28"/>
        </w:rPr>
        <w:t>Р</w:t>
      </w:r>
      <w:r w:rsidRPr="00641DA2">
        <w:rPr>
          <w:rFonts w:ascii="Times New Roman" w:hAnsi="Times New Roman" w:cs="Times New Roman"/>
          <w:sz w:val="28"/>
          <w:szCs w:val="28"/>
        </w:rPr>
        <w:t>ешени</w:t>
      </w:r>
      <w:r w:rsidR="00A043AB">
        <w:rPr>
          <w:rFonts w:ascii="Times New Roman" w:hAnsi="Times New Roman" w:cs="Times New Roman"/>
          <w:sz w:val="28"/>
          <w:szCs w:val="28"/>
        </w:rPr>
        <w:t>е</w:t>
      </w:r>
      <w:r w:rsidRPr="00641DA2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="00885FC2">
        <w:rPr>
          <w:rFonts w:ascii="Times New Roman" w:hAnsi="Times New Roman" w:cs="Times New Roman"/>
          <w:sz w:val="28"/>
          <w:szCs w:val="28"/>
        </w:rPr>
        <w:t xml:space="preserve"> </w:t>
      </w:r>
      <w:r w:rsidR="00A043AB" w:rsidRPr="00885FC2">
        <w:rPr>
          <w:rFonts w:ascii="Times New Roman" w:hAnsi="Times New Roman" w:cs="Times New Roman"/>
          <w:sz w:val="28"/>
          <w:szCs w:val="28"/>
        </w:rPr>
        <w:t>от 19.12.2024 № 48</w:t>
      </w:r>
      <w:r w:rsidRPr="00885FC2">
        <w:rPr>
          <w:rFonts w:ascii="Times New Roman" w:hAnsi="Times New Roman" w:cs="Times New Roman"/>
          <w:sz w:val="28"/>
          <w:szCs w:val="28"/>
        </w:rPr>
        <w:t xml:space="preserve"> «</w:t>
      </w:r>
      <w:r w:rsidR="00885FC2" w:rsidRPr="00885FC2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 на территории сельского поселения Цингалы</w:t>
      </w:r>
      <w:r w:rsidRPr="00885FC2">
        <w:rPr>
          <w:rFonts w:ascii="Times New Roman" w:hAnsi="Times New Roman" w:cs="Times New Roman"/>
          <w:sz w:val="28"/>
          <w:szCs w:val="28"/>
        </w:rPr>
        <w:t>»;</w:t>
      </w:r>
    </w:p>
    <w:p w14:paraId="05884219" w14:textId="77777777" w:rsidR="00641DA2" w:rsidRPr="00F577F9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14:paraId="0C58C74F" w14:textId="6D260597" w:rsidR="00CF60D1" w:rsidRPr="00A6613C" w:rsidRDefault="00CF60D1" w:rsidP="00A6613C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3CF961CF" w14:textId="77777777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F7A59B" w14:textId="77777777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659A22" w14:textId="737CC0A6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14136C01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p w14:paraId="48230CEC" w14:textId="77777777" w:rsidR="0057120A" w:rsidRDefault="0057120A" w:rsidP="00255C17">
      <w:pPr>
        <w:rPr>
          <w:sz w:val="28"/>
          <w:szCs w:val="28"/>
        </w:rPr>
      </w:pPr>
    </w:p>
    <w:p w14:paraId="57876BE6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1433DE3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85081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депутатов </w:t>
      </w:r>
    </w:p>
    <w:p w14:paraId="0BA9CD17" w14:textId="4218F07E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50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 w:rsidRPr="00850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D9180" w14:textId="3CF2E4C8" w:rsidR="00641DA2" w:rsidRPr="00741460" w:rsidRDefault="00A6613C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7120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120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641DA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41460">
        <w:rPr>
          <w:rFonts w:ascii="Times New Roman" w:hAnsi="Times New Roman" w:cs="Times New Roman"/>
          <w:sz w:val="28"/>
          <w:szCs w:val="28"/>
          <w:lang w:val="en-US"/>
        </w:rPr>
        <w:t>29</w:t>
      </w:r>
    </w:p>
    <w:p w14:paraId="70DF77EB" w14:textId="77777777" w:rsidR="00641DA2" w:rsidRDefault="00641DA2" w:rsidP="00641D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874F9" w14:textId="77777777" w:rsidR="00641DA2" w:rsidRDefault="00641DA2" w:rsidP="00641D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448A25AA" w14:textId="0B45C2FE" w:rsidR="00641DA2" w:rsidRDefault="008F34B4" w:rsidP="00641D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34B4">
        <w:rPr>
          <w:rFonts w:ascii="Times New Roman" w:hAnsi="Times New Roman" w:cs="Times New Roman"/>
          <w:sz w:val="28"/>
          <w:szCs w:val="28"/>
        </w:rPr>
        <w:t>об осуществлении муниципального жилищного контроля в границах населенных пунктов сельского поселения Цингалы</w:t>
      </w:r>
    </w:p>
    <w:p w14:paraId="02D3C0DB" w14:textId="77777777" w:rsidR="00641DA2" w:rsidRDefault="00641DA2" w:rsidP="00641DA2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109A39B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</w:p>
    <w:p w14:paraId="07A52F7A" w14:textId="77777777" w:rsidR="00641DA2" w:rsidRDefault="00641DA2" w:rsidP="00641D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71B0773" w14:textId="77777777" w:rsidR="00641DA2" w:rsidRDefault="00641DA2" w:rsidP="00641DA2">
      <w:pPr>
        <w:pStyle w:val="ConsPlusNormal"/>
        <w:ind w:firstLine="540"/>
        <w:jc w:val="both"/>
      </w:pPr>
    </w:p>
    <w:p w14:paraId="12F9C675" w14:textId="2BC43EE8" w:rsidR="00641DA2" w:rsidRDefault="00641DA2" w:rsidP="00641DA2">
      <w:pPr>
        <w:jc w:val="both"/>
        <w:rPr>
          <w:i/>
          <w:iCs/>
        </w:rPr>
      </w:pPr>
      <w:r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F577F9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контроля</w:t>
      </w:r>
      <w:r w:rsidRPr="00850815">
        <w:rPr>
          <w:sz w:val="28"/>
          <w:szCs w:val="28"/>
        </w:rPr>
        <w:t xml:space="preserve"> </w:t>
      </w:r>
      <w:r w:rsidR="008F34B4" w:rsidRPr="008F34B4">
        <w:rPr>
          <w:sz w:val="28"/>
          <w:szCs w:val="28"/>
        </w:rPr>
        <w:t>в границах населенных пунктов сельского поселения Цингалы</w:t>
      </w:r>
      <w:r>
        <w:rPr>
          <w:sz w:val="28"/>
          <w:szCs w:val="28"/>
        </w:rPr>
        <w:t xml:space="preserve"> (далее – муниципальный контроль).</w:t>
      </w:r>
    </w:p>
    <w:p w14:paraId="133F3DC4" w14:textId="6E17DBE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 № 248-Ф</w:t>
      </w:r>
      <w:r w:rsidR="00A6613C">
        <w:rPr>
          <w:rFonts w:ascii="Times New Roman" w:hAnsi="Times New Roman" w:cs="Times New Roman"/>
          <w:sz w:val="28"/>
          <w:szCs w:val="28"/>
        </w:rPr>
        <w:t>З 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14:paraId="7C3131B6" w14:textId="406D2C4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Муниципальный контроль осуществляет </w:t>
      </w:r>
      <w:r w:rsidR="00F577F9">
        <w:rPr>
          <w:rFonts w:ascii="Times New Roman" w:hAnsi="Times New Roman" w:cs="Times New Roman"/>
          <w:sz w:val="28"/>
          <w:szCs w:val="28"/>
        </w:rPr>
        <w:t>а</w:t>
      </w:r>
      <w:r w:rsidRPr="00850815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14:paraId="064D0516" w14:textId="5B79722F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14:paraId="53C8DB1B" w14:textId="6725A3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5B8A8AE6" w14:textId="2A03B880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6CFF8F90" w14:textId="6BC9CBE2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14:paraId="23338ABD" w14:textId="379F7E96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14:paraId="0B5E3F38" w14:textId="61A5DE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Pr="00A112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lastRenderedPageBreak/>
        <w:t>Цингалы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14:paraId="39ABF08E" w14:textId="335B19D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5D2F2832" w14:textId="77777777" w:rsidR="00F577F9" w:rsidRPr="00F577F9" w:rsidRDefault="00641DA2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F577F9" w:rsidRPr="00F577F9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</w:t>
      </w:r>
    </w:p>
    <w:p w14:paraId="49A7B12E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128DDE3D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14:paraId="24133C2D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2250EC52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FF94F48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40118DC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576D7D9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2C59984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311866A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26124455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59076BC3" w14:textId="77777777" w:rsidR="00F577F9" w:rsidRPr="00F577F9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14:paraId="14384DAE" w14:textId="6D8036CB" w:rsidR="00641DA2" w:rsidRDefault="00F577F9" w:rsidP="00F5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77F9">
        <w:rPr>
          <w:rFonts w:ascii="Times New Roman" w:hAnsi="Times New Roman" w:cs="Times New Roman"/>
          <w:sz w:val="28"/>
          <w:szCs w:val="28"/>
        </w:rPr>
        <w:t xml:space="preserve">12) требований к безопасной эксплуатации и техническому обслуживанию внутридомового и (или) внутриквартирного газового </w:t>
      </w:r>
      <w:r w:rsidRPr="00F577F9">
        <w:rPr>
          <w:rFonts w:ascii="Times New Roman" w:hAnsi="Times New Roman" w:cs="Times New Roman"/>
          <w:sz w:val="28"/>
          <w:szCs w:val="28"/>
        </w:rPr>
        <w:lastRenderedPageBreak/>
        <w:t>оборудования, а также требований к содержанию относящихся к общему имуществу в многоквартирном доме вентиляционных и дымовых каналов.</w:t>
      </w:r>
      <w:r w:rsidR="00641DA2">
        <w:rPr>
          <w:rFonts w:ascii="Times New Roman" w:hAnsi="Times New Roman" w:cs="Times New Roman"/>
          <w:sz w:val="28"/>
          <w:szCs w:val="28"/>
        </w:rPr>
        <w:tab/>
      </w:r>
    </w:p>
    <w:p w14:paraId="4F08DABC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14:paraId="21BC45ED" w14:textId="05295D7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профилактических мероприятий;</w:t>
      </w:r>
    </w:p>
    <w:p w14:paraId="4ED35097" w14:textId="1EF42621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контрольных мероприятий со взаимодействием с контролируемым лицом;</w:t>
      </w:r>
    </w:p>
    <w:p w14:paraId="1BC7933D" w14:textId="17678FCA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2685198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6D1B487" w14:textId="77777777" w:rsidR="0085480C" w:rsidRPr="0085480C" w:rsidRDefault="0085480C" w:rsidP="0085480C">
      <w:pPr>
        <w:widowControl w:val="0"/>
        <w:ind w:firstLine="708"/>
        <w:jc w:val="both"/>
        <w:rPr>
          <w:sz w:val="28"/>
          <w:szCs w:val="28"/>
        </w:rPr>
      </w:pPr>
      <w:r w:rsidRPr="0085480C">
        <w:rPr>
          <w:sz w:val="28"/>
          <w:szCs w:val="28"/>
        </w:rPr>
        <w:t>1) руководитель контрольного органа;</w:t>
      </w:r>
    </w:p>
    <w:p w14:paraId="360745DB" w14:textId="77777777" w:rsidR="0085480C" w:rsidRPr="0085480C" w:rsidRDefault="0085480C" w:rsidP="0085480C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85480C">
        <w:rPr>
          <w:sz w:val="28"/>
          <w:szCs w:val="28"/>
        </w:rPr>
        <w:t>2) заместитель руководителя контрольного органа;</w:t>
      </w:r>
    </w:p>
    <w:p w14:paraId="500FBFD8" w14:textId="77777777" w:rsidR="0085480C" w:rsidRPr="0085480C" w:rsidRDefault="0085480C" w:rsidP="0085480C">
      <w:pPr>
        <w:widowControl w:val="0"/>
        <w:jc w:val="both"/>
        <w:rPr>
          <w:sz w:val="28"/>
          <w:szCs w:val="28"/>
          <w:highlight w:val="white"/>
        </w:rPr>
      </w:pPr>
      <w:r w:rsidRPr="0085480C">
        <w:rPr>
          <w:sz w:val="28"/>
          <w:szCs w:val="28"/>
        </w:rPr>
        <w:tab/>
        <w:t>3) должностное лицо контрольного органа, в должностные обязанности которого в соответствии с</w:t>
      </w:r>
      <w:r w:rsidRPr="0085480C">
        <w:rPr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14:paraId="69EA1015" w14:textId="021BAE08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 Принятие решений о проведении контрольных мероприятий осуществляет </w:t>
      </w:r>
      <w:r w:rsidRPr="007905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Pr="0079050B">
        <w:rPr>
          <w:rFonts w:ascii="Times New Roman" w:hAnsi="Times New Roman" w:cs="Times New Roman"/>
          <w:sz w:val="28"/>
          <w:szCs w:val="28"/>
        </w:rPr>
        <w:t>органа либо лицо, исполняющее его обязанности на период отсутствия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7DF21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B7C5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7D167D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F8352" w14:textId="77777777" w:rsidR="00641DA2" w:rsidRDefault="00641DA2" w:rsidP="00641DA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4DEDCBDC" w14:textId="3F10FB7E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14:paraId="36B2A66B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7EA7152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</w:t>
      </w:r>
      <w:r>
        <w:rPr>
          <w:sz w:val="28"/>
          <w:szCs w:val="28"/>
        </w:rPr>
        <w:lastRenderedPageBreak/>
        <w:t>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6AE2B761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16A1F229" w14:textId="77777777" w:rsidR="00641DA2" w:rsidRDefault="00641DA2" w:rsidP="00641DA2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14:paraId="5DD3D45A" w14:textId="77777777" w:rsidR="00641DA2" w:rsidRDefault="00641DA2" w:rsidP="00641DA2">
      <w:pPr>
        <w:widowControl w:val="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2286692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14:paraId="197C923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5B02701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07941FD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58956480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t xml:space="preserve"> </w:t>
      </w:r>
    </w:p>
    <w:p w14:paraId="763D5897" w14:textId="77777777" w:rsidR="00641DA2" w:rsidRDefault="00641DA2" w:rsidP="00641DA2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075699A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14:paraId="2051572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</w:p>
    <w:p w14:paraId="6B89A246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>
        <w:rPr>
          <w:sz w:val="28"/>
          <w:szCs w:val="28"/>
          <w:highlight w:val="white"/>
        </w:rPr>
        <w:lastRenderedPageBreak/>
        <w:t xml:space="preserve">руководителем контрольного органа, размещенной на официальном сайте </w:t>
      </w:r>
      <w:r>
        <w:rPr>
          <w:sz w:val="28"/>
          <w:szCs w:val="28"/>
        </w:rPr>
        <w:t>контрольного органа в сети «Интернет».</w:t>
      </w:r>
    </w:p>
    <w:p w14:paraId="1A23443A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55FD3505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6DE7D363" w14:textId="77777777" w:rsidR="00641DA2" w:rsidRPr="006B005D" w:rsidRDefault="00641DA2" w:rsidP="00641DA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3.4. Контрольный орган в рамках осуществления муниципального контроля проводит следующие профилактические мероприятия:</w:t>
      </w:r>
    </w:p>
    <w:p w14:paraId="71A55D3F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информирование;</w:t>
      </w:r>
    </w:p>
    <w:p w14:paraId="6FF7237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14:paraId="77183D28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14:paraId="77EF18E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14:paraId="2A9B02A7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 w:val="28"/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>
        <w:rPr>
          <w:i/>
          <w:highlight w:val="white"/>
        </w:rPr>
        <w:t>.</w:t>
      </w:r>
    </w:p>
    <w:p w14:paraId="17C1851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6B005D">
        <w:rPr>
          <w:sz w:val="28"/>
          <w:szCs w:val="28"/>
          <w:highlight w:val="white"/>
        </w:rPr>
        <w:t xml:space="preserve">не более 5 рабочих дней </w:t>
      </w:r>
      <w:r>
        <w:rPr>
          <w:sz w:val="28"/>
          <w:szCs w:val="28"/>
          <w:highlight w:val="white"/>
        </w:rPr>
        <w:t>с момента их изменения.</w:t>
      </w:r>
    </w:p>
    <w:p w14:paraId="761B23E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6B005D">
        <w:rPr>
          <w:sz w:val="28"/>
          <w:szCs w:val="28"/>
          <w:highlight w:val="white"/>
        </w:rPr>
        <w:t>10 рабочих дней со дня их получения и предлагает принять меры по обеспечению соблюдения обязательных</w:t>
      </w:r>
      <w:r>
        <w:rPr>
          <w:sz w:val="28"/>
          <w:szCs w:val="28"/>
        </w:rPr>
        <w:t xml:space="preserve"> требований</w:t>
      </w:r>
      <w:r>
        <w:t>.</w:t>
      </w:r>
    </w:p>
    <w:p w14:paraId="0A3C8A3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4F8F363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4420052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1B73220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Контролируемое лицо вправе после получения предостережения подать в контрольный орган возражение в произвольной форме, включив в него </w:t>
      </w:r>
      <w:r>
        <w:rPr>
          <w:sz w:val="28"/>
          <w:szCs w:val="28"/>
        </w:rPr>
        <w:lastRenderedPageBreak/>
        <w:t>следующую информацию:</w:t>
      </w:r>
    </w:p>
    <w:p w14:paraId="2AEC62F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14:paraId="499D9F6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14:paraId="3EFA28E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1E00465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0B974D5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467E3B33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14:paraId="73B1E96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0B53A7A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2354658D" w14:textId="2AD83069" w:rsidR="00641DA2" w:rsidRPr="0065669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 xml:space="preserve">почтовой связью по адресу: </w:t>
      </w:r>
      <w:r>
        <w:rPr>
          <w:sz w:val="28"/>
          <w:szCs w:val="28"/>
        </w:rPr>
        <w:t>6285</w:t>
      </w:r>
      <w:r w:rsidR="00A6613C">
        <w:rPr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 w:rsidR="00A6613C"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 w:rsidR="00A6613C"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 w:rsidR="00A6613C"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 w:rsidR="00A6613C">
        <w:rPr>
          <w:sz w:val="28"/>
          <w:szCs w:val="28"/>
        </w:rPr>
        <w:t>20</w:t>
      </w:r>
      <w:r w:rsidRPr="0065669F">
        <w:rPr>
          <w:sz w:val="28"/>
          <w:szCs w:val="28"/>
        </w:rPr>
        <w:t>;</w:t>
      </w:r>
    </w:p>
    <w:p w14:paraId="77C8938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>в электронном виде посредством направления обращения через Единый портал государственных и муниципальных услуг (функций).</w:t>
      </w:r>
    </w:p>
    <w:p w14:paraId="64D1BDC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5D6A3343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B005D">
        <w:rPr>
          <w:sz w:val="28"/>
          <w:szCs w:val="28"/>
        </w:rPr>
        <w:t>3 рабочих дней с даты принятия такого решения;</w:t>
      </w:r>
    </w:p>
    <w:p w14:paraId="4E3D857A" w14:textId="77777777" w:rsidR="00641DA2" w:rsidRPr="006B005D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Pr="006B005D">
        <w:rPr>
          <w:sz w:val="28"/>
          <w:szCs w:val="28"/>
          <w:highlight w:val="white"/>
        </w:rPr>
        <w:t>3 рабочих дня с даты принятия такого решения.</w:t>
      </w:r>
    </w:p>
    <w:p w14:paraId="293687F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2C0BD99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14:paraId="5DA83AA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14:paraId="19DF9BC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14:paraId="3267B2C1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или заместителями руководителя контрольного органа.  </w:t>
      </w:r>
    </w:p>
    <w:p w14:paraId="4F4155F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188B4231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005D">
        <w:rPr>
          <w:sz w:val="28"/>
          <w:szCs w:val="28"/>
        </w:rPr>
        <w:t>Консультирование осуществляется по следующим вопросам:</w:t>
      </w:r>
    </w:p>
    <w:p w14:paraId="31770F65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1) организация и осуществление муниципального контроля;</w:t>
      </w:r>
    </w:p>
    <w:p w14:paraId="3F965502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2) порядок осуществления контрольных мероприятий, установленных Положением;</w:t>
      </w:r>
    </w:p>
    <w:p w14:paraId="0547F3D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lastRenderedPageBreak/>
        <w:tab/>
        <w:t xml:space="preserve">3) обязательные требования; </w:t>
      </w:r>
    </w:p>
    <w:p w14:paraId="3463195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 xml:space="preserve">4) требования, содержащиеся в разрешительных документах;  </w:t>
      </w:r>
    </w:p>
    <w:p w14:paraId="58D0C17A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5) требования документов, исполнение которых является необходимым в соответствии с законода</w:t>
      </w:r>
      <w:r>
        <w:rPr>
          <w:sz w:val="28"/>
          <w:szCs w:val="28"/>
        </w:rPr>
        <w:t>тельством Российской Федерации</w:t>
      </w:r>
      <w:r w:rsidRPr="006B005D">
        <w:rPr>
          <w:sz w:val="28"/>
          <w:szCs w:val="28"/>
        </w:rPr>
        <w:t>.</w:t>
      </w:r>
    </w:p>
    <w:p w14:paraId="5B9B44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6E909107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3B18B5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3E052CD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6796C46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1DF933A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7C405DA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14:paraId="4C556F1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049296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06B1DB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702F26DF" w14:textId="18510A3E" w:rsidR="00641DA2" w:rsidRDefault="00641DA2" w:rsidP="002E490F">
      <w:pPr>
        <w:widowControl w:val="0"/>
        <w:ind w:firstLine="708"/>
        <w:jc w:val="both"/>
      </w:pPr>
      <w:r w:rsidRPr="002E490F">
        <w:rPr>
          <w:sz w:val="28"/>
          <w:szCs w:val="28"/>
        </w:rPr>
        <w:t>3.8. Профилактический визит проводится инспектором по месту осуществления деятельности контролируемого лица либо путем</w:t>
      </w:r>
      <w:r>
        <w:rPr>
          <w:sz w:val="28"/>
          <w:szCs w:val="28"/>
        </w:rPr>
        <w:t xml:space="preserve"> использования видео-конференц-связи или мобильного приложения «Инспектор».</w:t>
      </w:r>
    </w:p>
    <w:p w14:paraId="5BF31C37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188E56B4" w14:textId="77777777" w:rsidR="00641DA2" w:rsidRDefault="00641DA2" w:rsidP="00641DA2">
      <w:pPr>
        <w:ind w:firstLine="720"/>
        <w:jc w:val="both"/>
      </w:pPr>
      <w:r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27A1005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14:paraId="6698133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732591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 </w:t>
      </w:r>
      <w:r>
        <w:rPr>
          <w:sz w:val="28"/>
          <w:szCs w:val="28"/>
          <w:highlight w:val="white"/>
        </w:rPr>
        <w:t xml:space="preserve">для объектов контроля, отнесенных к категории среднего и умеренного риска, </w:t>
      </w:r>
      <w:r>
        <w:rPr>
          <w:sz w:val="28"/>
          <w:szCs w:val="28"/>
        </w:rPr>
        <w:t>устанавливается Правительством Российской Федерации</w:t>
      </w:r>
      <w:r>
        <w:rPr>
          <w:sz w:val="28"/>
          <w:szCs w:val="28"/>
          <w:highlight w:val="white"/>
        </w:rPr>
        <w:t xml:space="preserve">; </w:t>
      </w:r>
    </w:p>
    <w:p w14:paraId="03572C22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>- д</w:t>
      </w:r>
      <w:r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>
        <w:rPr>
          <w:sz w:val="28"/>
          <w:szCs w:val="28"/>
        </w:rPr>
        <w:t>лет</w:t>
      </w:r>
      <w:r>
        <w:rPr>
          <w:i/>
          <w:iCs/>
          <w:highlight w:val="white"/>
        </w:rPr>
        <w:t>.</w:t>
      </w:r>
    </w:p>
    <w:p w14:paraId="4244D2E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655C4E8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213E2E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t>.</w:t>
      </w:r>
    </w:p>
    <w:p w14:paraId="697D20BF" w14:textId="77777777" w:rsidR="00641DA2" w:rsidRDefault="00641DA2" w:rsidP="00641DA2">
      <w:pPr>
        <w:ind w:firstLine="709"/>
        <w:jc w:val="both"/>
        <w:rPr>
          <w:i/>
        </w:rPr>
      </w:pPr>
    </w:p>
    <w:p w14:paraId="005E416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14:paraId="3AFF526D" w14:textId="77777777" w:rsidR="00641DA2" w:rsidRDefault="00641DA2" w:rsidP="00641DA2">
      <w:pPr>
        <w:widowControl w:val="0"/>
        <w:jc w:val="center"/>
        <w:rPr>
          <w:sz w:val="28"/>
          <w:szCs w:val="28"/>
        </w:rPr>
      </w:pPr>
    </w:p>
    <w:p w14:paraId="7009E2CF" w14:textId="77777777" w:rsidR="00641DA2" w:rsidRPr="008A38A9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14:paraId="464F04CD" w14:textId="148CBF34" w:rsidR="00641DA2" w:rsidRDefault="00641DA2" w:rsidP="00000E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E80">
        <w:rPr>
          <w:sz w:val="28"/>
          <w:szCs w:val="28"/>
        </w:rPr>
        <w:t xml:space="preserve">1) </w:t>
      </w:r>
      <w:r>
        <w:rPr>
          <w:sz w:val="28"/>
          <w:szCs w:val="28"/>
        </w:rPr>
        <w:t>инспекционный визит;</w:t>
      </w:r>
    </w:p>
    <w:p w14:paraId="60781200" w14:textId="40D72CBD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E80">
        <w:rPr>
          <w:sz w:val="28"/>
          <w:szCs w:val="28"/>
        </w:rPr>
        <w:t>2</w:t>
      </w:r>
      <w:r>
        <w:rPr>
          <w:sz w:val="28"/>
          <w:szCs w:val="28"/>
        </w:rPr>
        <w:t>) рейдовый осмотр;</w:t>
      </w:r>
    </w:p>
    <w:p w14:paraId="7957688E" w14:textId="4DA89713" w:rsidR="00641DA2" w:rsidRDefault="00000E80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DA2">
        <w:rPr>
          <w:sz w:val="28"/>
          <w:szCs w:val="28"/>
        </w:rPr>
        <w:t>) документарная проверка;</w:t>
      </w:r>
    </w:p>
    <w:p w14:paraId="295318A2" w14:textId="402D7C84" w:rsidR="00641DA2" w:rsidRDefault="00000E80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</w:t>
      </w:r>
      <w:r w:rsidR="00641DA2">
        <w:rPr>
          <w:sz w:val="28"/>
          <w:szCs w:val="28"/>
        </w:rPr>
        <w:t>) выездная проверка.</w:t>
      </w:r>
    </w:p>
    <w:p w14:paraId="73E4BADE" w14:textId="77777777" w:rsidR="00641DA2" w:rsidRDefault="00641DA2" w:rsidP="00641DA2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8E1C37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7813BC5C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14:paraId="282E0E5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09E9997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14:paraId="61B247D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0F7B17D7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004E5BF1" w14:textId="77777777" w:rsidR="00641DA2" w:rsidRPr="008A38A9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  </w:t>
      </w:r>
    </w:p>
    <w:p w14:paraId="5929CEF1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 xml:space="preserve">4.5. При осуществлении муниципального контроля плановые контрольные мероприятия не проводятся. </w:t>
      </w:r>
    </w:p>
    <w:p w14:paraId="33F4DBB4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>4.6. Контрольные мероприятия осущес</w:t>
      </w:r>
      <w:r>
        <w:rPr>
          <w:sz w:val="28"/>
          <w:szCs w:val="28"/>
        </w:rPr>
        <w:t>твляются на внеплановой основе</w:t>
      </w:r>
      <w:r w:rsidRPr="008A38A9">
        <w:rPr>
          <w:sz w:val="28"/>
          <w:szCs w:val="28"/>
        </w:rPr>
        <w:t>.</w:t>
      </w:r>
    </w:p>
    <w:p w14:paraId="539D5CA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, предусматривающего </w:t>
      </w:r>
      <w:r>
        <w:rPr>
          <w:sz w:val="28"/>
          <w:szCs w:val="28"/>
        </w:rPr>
        <w:lastRenderedPageBreak/>
        <w:t>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56F98CA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14:paraId="3E96A04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14:paraId="33900FC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38B8FC9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14:paraId="2BBDE28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14:paraId="2EA9049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52174F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0F8FE67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4.9. Рейдовый осмотр проводится в порядке и в сроки, установленные статьей 71 Федерального закона № 248-ФЗ.</w:t>
      </w:r>
    </w:p>
    <w:p w14:paraId="1E8A384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14:paraId="379EDB9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645AB56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досмотр;</w:t>
      </w:r>
    </w:p>
    <w:p w14:paraId="06EDF4D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опрос;</w:t>
      </w:r>
    </w:p>
    <w:p w14:paraId="71D63CA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получение письменных объяснений;</w:t>
      </w:r>
    </w:p>
    <w:p w14:paraId="42E107F7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документов;</w:t>
      </w:r>
    </w:p>
    <w:p w14:paraId="4DFB64F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6) экспертиза.</w:t>
      </w:r>
    </w:p>
    <w:p w14:paraId="405D80E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5E2796C1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 Документарная проверка проводится в порядке и в сроки, установленные статьей 72 Федерального закона № 248-ФЗ.</w:t>
      </w:r>
    </w:p>
    <w:p w14:paraId="2FCF4CB8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3EBF0A2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14:paraId="41F670A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документов.</w:t>
      </w:r>
    </w:p>
    <w:p w14:paraId="264CD717" w14:textId="77777777" w:rsidR="00641DA2" w:rsidRPr="00641DA2" w:rsidRDefault="00641DA2" w:rsidP="00641DA2">
      <w:pPr>
        <w:pStyle w:val="a5"/>
        <w:jc w:val="both"/>
        <w:rPr>
          <w:sz w:val="28"/>
          <w:szCs w:val="28"/>
          <w:lang w:val="ru-RU"/>
        </w:rPr>
      </w:pPr>
      <w:r w:rsidRPr="00641DA2">
        <w:rPr>
          <w:sz w:val="28"/>
          <w:szCs w:val="28"/>
          <w:lang w:val="ru-RU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№248-ФЗ.</w:t>
      </w:r>
    </w:p>
    <w:p w14:paraId="6CE4631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4.11.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десять рабочих дней. В </w:t>
      </w:r>
      <w:r>
        <w:rPr>
          <w:sz w:val="28"/>
          <w:szCs w:val="28"/>
          <w:highlight w:val="white"/>
        </w:rPr>
        <w:lastRenderedPageBreak/>
        <w:t>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</w:t>
      </w:r>
      <w:r>
        <w:rPr>
          <w:i/>
          <w:iCs/>
        </w:rPr>
        <w:t>.</w:t>
      </w:r>
    </w:p>
    <w:p w14:paraId="10B9A1F4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3C86BD38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14:paraId="1815F44C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14:paraId="1D49D11E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14:paraId="33E826A5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14:paraId="6C1F4B00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14:paraId="078D2EA6" w14:textId="77777777" w:rsidR="00641DA2" w:rsidRDefault="00641DA2" w:rsidP="00641DA2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экспертиза.</w:t>
      </w:r>
    </w:p>
    <w:p w14:paraId="4E433C4B" w14:textId="77777777" w:rsidR="00641DA2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046CE69C" w14:textId="77777777" w:rsidR="00641DA2" w:rsidRDefault="00641DA2" w:rsidP="00641DA2">
      <w:pPr>
        <w:jc w:val="both"/>
      </w:pPr>
      <w:r>
        <w:rPr>
          <w:sz w:val="28"/>
          <w:szCs w:val="28"/>
        </w:rPr>
        <w:tab/>
        <w:t>4.12.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14:paraId="60D7AE96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14:paraId="4D51880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14:paraId="4BDB948F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41DF180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26A8A0F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4.14. Выездное обследование проводится в порядке, установленном статьей 75 Федерального закона № 248-ФЗ.</w:t>
      </w:r>
    </w:p>
    <w:p w14:paraId="2E345CA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9D3579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1) осмотр;</w:t>
      </w:r>
    </w:p>
    <w:p w14:paraId="2BD455C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экспертиза.</w:t>
      </w:r>
    </w:p>
    <w:p w14:paraId="0BEAD0C4" w14:textId="77777777" w:rsidR="00641DA2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sz w:val="28"/>
          <w:szCs w:val="28"/>
        </w:rPr>
        <w:t>4.15.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14:paraId="4A57A8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lastRenderedPageBreak/>
        <w:t>катастрофа природного или техногенного характера;</w:t>
      </w:r>
    </w:p>
    <w:p w14:paraId="1FDA957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14:paraId="1FA3EF83" w14:textId="77777777" w:rsidR="00641DA2" w:rsidRPr="006D480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  <w:r>
        <w:rPr>
          <w:bCs/>
          <w:sz w:val="28"/>
          <w:szCs w:val="28"/>
        </w:rPr>
        <w:t xml:space="preserve"> </w:t>
      </w:r>
    </w:p>
    <w:p w14:paraId="6F2837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4.16. Осмотр осуществляется в порядке, установленном статьей 76 Федерального закона № 248-ФЗ.</w:t>
      </w:r>
    </w:p>
    <w:p w14:paraId="74F18AB0" w14:textId="77777777" w:rsidR="00641DA2" w:rsidRPr="00641DA2" w:rsidRDefault="00641DA2" w:rsidP="00641DA2">
      <w:pPr>
        <w:pStyle w:val="a5"/>
        <w:ind w:firstLine="720"/>
        <w:jc w:val="both"/>
        <w:rPr>
          <w:bCs/>
          <w:i/>
          <w:lang w:val="ru-RU"/>
        </w:rPr>
      </w:pPr>
      <w:r w:rsidRPr="00641DA2">
        <w:rPr>
          <w:sz w:val="28"/>
          <w:szCs w:val="28"/>
          <w:lang w:val="ru-RU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14:paraId="71626C4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7E01696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4.17. Досмотр осуществляется в порядке, установленном статьей 77 Федерального закона № 248-ФЗ.</w:t>
      </w:r>
    </w:p>
    <w:p w14:paraId="1ACF670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 и выездной проверки.</w:t>
      </w:r>
      <w:r>
        <w:rPr>
          <w:i/>
          <w:iCs/>
          <w:sz w:val="28"/>
          <w:szCs w:val="28"/>
        </w:rPr>
        <w:t xml:space="preserve"> </w:t>
      </w:r>
    </w:p>
    <w:p w14:paraId="21AFB4DC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CBA1C6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4.18. Опрос осуществляется в порядке, установленном статьей 78 Федерального закона № 248-ФЗ.</w:t>
      </w:r>
    </w:p>
    <w:p w14:paraId="3AE1B73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Опрос может проводиться при осуществлении инспекционного визита, рейдового осмотра и выездной проверки. </w:t>
      </w:r>
    </w:p>
    <w:p w14:paraId="003EEAF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8C7BBE1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4.19. Получение письменных объяснений осуществляется в порядке, установленном статьей 79 Федерального закона № 248-ФЗ.</w:t>
      </w:r>
    </w:p>
    <w:p w14:paraId="717F4D2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14:paraId="3BC0A68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4.20. Истребование документов осуществляется в порядке, установленном статьей 80 Федерального закона № 248-ФЗ.</w:t>
      </w:r>
    </w:p>
    <w:p w14:paraId="68C18F63" w14:textId="77777777" w:rsidR="00641DA2" w:rsidRPr="006D480F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осмотра, документарной проверки и выездной проверки</w:t>
      </w:r>
      <w:r>
        <w:rPr>
          <w:bCs/>
          <w:sz w:val="28"/>
          <w:szCs w:val="28"/>
        </w:rPr>
        <w:t xml:space="preserve">. </w:t>
      </w:r>
    </w:p>
    <w:p w14:paraId="64A6BCF4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14:paraId="6BABBD5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>
        <w:rPr>
          <w:sz w:val="28"/>
          <w:szCs w:val="28"/>
        </w:rPr>
        <w:t>рейдового осмотра, выездной проверки, выездного обследования</w:t>
      </w:r>
      <w:r>
        <w:rPr>
          <w:bCs/>
          <w:sz w:val="28"/>
          <w:szCs w:val="28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68CD2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</w:t>
      </w:r>
      <w:r>
        <w:rPr>
          <w:bCs/>
          <w:sz w:val="28"/>
          <w:szCs w:val="28"/>
        </w:rPr>
        <w:lastRenderedPageBreak/>
        <w:t>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5372B08A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14:paraId="71EB766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14:paraId="7129FFD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7348E4B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14:paraId="4E7C6726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14:paraId="158E0F13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14:paraId="05E4FF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14:paraId="3D28DDC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63D116EC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14:paraId="676950B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4E49AB4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14:paraId="7B3BE0B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432888D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14:paraId="0517BC71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</w:p>
    <w:p w14:paraId="7AA4DDF7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14:paraId="21E43F4C" w14:textId="77777777" w:rsidR="00641DA2" w:rsidRDefault="00641DA2" w:rsidP="00641DA2">
      <w:pPr>
        <w:widowControl w:val="0"/>
        <w:jc w:val="center"/>
        <w:rPr>
          <w:i/>
          <w:sz w:val="28"/>
          <w:szCs w:val="28"/>
        </w:rPr>
      </w:pPr>
    </w:p>
    <w:p w14:paraId="4C5D161C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2A25FF4C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EBFD94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14:paraId="70FE79DD" w14:textId="77777777" w:rsidR="00641DA2" w:rsidRDefault="00641DA2" w:rsidP="00641DA2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6D95F8A9" w14:textId="77777777" w:rsidR="00641DA2" w:rsidRPr="00A112C7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Pr="00A112C7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Федерации.).</w:t>
      </w:r>
    </w:p>
    <w:p w14:paraId="2D71627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71DAEE1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76ED663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0C770EB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4E7D62D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3B46C24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2498F42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7B771C">
        <w:rPr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14:paraId="1ADADFB3" w14:textId="5958308E" w:rsidR="00641DA2" w:rsidRDefault="00641DA2" w:rsidP="00641DA2">
      <w:pPr>
        <w:widowControl w:val="0"/>
        <w:ind w:firstLine="720"/>
        <w:jc w:val="both"/>
        <w:rPr>
          <w:bCs/>
          <w:sz w:val="28"/>
          <w:szCs w:val="28"/>
        </w:rPr>
      </w:pPr>
    </w:p>
    <w:p w14:paraId="1B4AC047" w14:textId="77777777" w:rsidR="00000E80" w:rsidRDefault="00000E80" w:rsidP="00000E80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 Обжалование решений контрольного органа, действий (бездействия) его должностных лиц</w:t>
      </w:r>
    </w:p>
    <w:p w14:paraId="1DBF15FF" w14:textId="77777777" w:rsidR="00000E80" w:rsidRDefault="00000E80" w:rsidP="00000E80">
      <w:pPr>
        <w:widowControl w:val="0"/>
        <w:ind w:firstLine="720"/>
        <w:jc w:val="center"/>
        <w:rPr>
          <w:b/>
          <w:sz w:val="28"/>
          <w:szCs w:val="28"/>
        </w:rPr>
      </w:pPr>
    </w:p>
    <w:p w14:paraId="46BBA5F0" w14:textId="77777777" w:rsidR="00000E80" w:rsidRDefault="00000E80" w:rsidP="00000E80">
      <w:pPr>
        <w:jc w:val="both"/>
        <w:rPr>
          <w:sz w:val="28"/>
          <w:szCs w:val="28"/>
        </w:rPr>
      </w:pPr>
      <w:r>
        <w:t> </w:t>
      </w:r>
      <w:r>
        <w:rPr>
          <w:rFonts w:ascii="Verdana" w:hAnsi="Verdana"/>
          <w:i/>
          <w:sz w:val="28"/>
          <w:szCs w:val="28"/>
        </w:rPr>
        <w:tab/>
      </w:r>
      <w:r>
        <w:rPr>
          <w:sz w:val="28"/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27D9BAE9" w14:textId="77777777" w:rsidR="00000E80" w:rsidRDefault="00000E80" w:rsidP="00000E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66E44480" w14:textId="77777777" w:rsidR="00000E80" w:rsidRDefault="00000E80" w:rsidP="00000E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5E24C3C1" w14:textId="77777777" w:rsidR="00000E80" w:rsidRDefault="00000E80" w:rsidP="00000E80">
      <w:pPr>
        <w:ind w:firstLine="720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 w:val="28"/>
          <w:szCs w:val="28"/>
        </w:rPr>
        <w:t>из следующих способов:</w:t>
      </w:r>
    </w:p>
    <w:p w14:paraId="4376BA79" w14:textId="77777777" w:rsidR="00000E80" w:rsidRDefault="00000E80" w:rsidP="00000E80">
      <w:pPr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3CDC9B5C" w14:textId="281D2FB1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628518,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>
        <w:rPr>
          <w:sz w:val="28"/>
          <w:szCs w:val="28"/>
        </w:rPr>
        <w:t>20.</w:t>
      </w:r>
    </w:p>
    <w:p w14:paraId="7640E55F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тайну, с соблюдением требований законодательства Российской Федерации о государственной или иной охраняемой законом тайне.</w:t>
      </w:r>
    </w:p>
    <w:p w14:paraId="32AC5C42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14:paraId="195C1570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14:paraId="274BA44F" w14:textId="77777777" w:rsidR="00000E80" w:rsidRPr="00000E80" w:rsidRDefault="00000E80" w:rsidP="00641DA2">
      <w:pPr>
        <w:widowControl w:val="0"/>
        <w:ind w:firstLine="720"/>
        <w:jc w:val="both"/>
        <w:rPr>
          <w:bCs/>
          <w:sz w:val="28"/>
          <w:szCs w:val="28"/>
        </w:rPr>
      </w:pPr>
    </w:p>
    <w:p w14:paraId="59C4889A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63B96D16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B9AC978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C2FF0AF" w14:textId="2F46F8CE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C3B04E" w14:textId="7E4F8663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E36CF0" w14:textId="6ED71F7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DEB766" w14:textId="742EB378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A8069E" w14:textId="4F12B756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103337" w14:textId="348977B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C23379" w14:textId="6D3D5ED4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6BDBDB" w14:textId="52DE4FAD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315F96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F0D9BDA" w14:textId="77777777" w:rsidR="00107B6E" w:rsidRDefault="00641DA2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107B6E" w:rsidRPr="00107B6E">
        <w:rPr>
          <w:rFonts w:ascii="Times New Roman" w:hAnsi="Times New Roman" w:cs="Times New Roman"/>
          <w:sz w:val="28"/>
          <w:szCs w:val="28"/>
        </w:rPr>
        <w:t>об осуществлении</w:t>
      </w:r>
    </w:p>
    <w:p w14:paraId="6F8FB4F9" w14:textId="77777777" w:rsid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</w:p>
    <w:p w14:paraId="65252D86" w14:textId="77777777" w:rsid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</w:p>
    <w:p w14:paraId="424228E9" w14:textId="5E505D8C" w:rsidR="00641DA2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4C21A4F7" w14:textId="77777777" w:rsidR="00107B6E" w:rsidRDefault="00107B6E" w:rsidP="00107B6E">
      <w:pPr>
        <w:pStyle w:val="ConsPlusNormal"/>
        <w:jc w:val="right"/>
        <w:rPr>
          <w:b/>
        </w:rPr>
      </w:pPr>
    </w:p>
    <w:p w14:paraId="7F2850F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48B77AF5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41F4F7D3" w14:textId="77777777" w:rsidR="00641DA2" w:rsidRDefault="00641DA2" w:rsidP="00641DA2">
      <w:pPr>
        <w:widowControl w:val="0"/>
        <w:ind w:firstLine="720"/>
        <w:jc w:val="both"/>
        <w:rPr>
          <w:bCs/>
          <w:i/>
          <w:iCs/>
        </w:rPr>
      </w:pPr>
    </w:p>
    <w:p w14:paraId="6DD425E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14:paraId="7EBFF1DA" w14:textId="678A3A60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7653D" w:rsidRPr="0097653D">
        <w:rPr>
          <w:rFonts w:ascii="Times New Roman" w:hAnsi="Times New Roman" w:cs="Times New Roman"/>
          <w:bCs/>
          <w:sz w:val="28"/>
          <w:szCs w:val="28"/>
        </w:rPr>
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14:paraId="791CA31B" w14:textId="3CEE521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CFEE56" w14:textId="4CF712A3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2D64D" w14:textId="45340EB4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24FB36" w14:textId="1AC62F12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08811B" w14:textId="214DD229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843135" w14:textId="07608E95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4A92D1" w14:textId="2DEF279B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CF2A51" w14:textId="77777777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AA2A0F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1C66F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A7636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9C62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8BB3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78D9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4395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DB2A92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9FCE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3CA66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C971F9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26372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1E708B" w14:textId="4A154190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C810B01" w14:textId="37528AC5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A281C7" w14:textId="1959A3CF" w:rsidR="008F34B4" w:rsidRDefault="008F34B4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D03FC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B275EB3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к Положению об осуществлении</w:t>
      </w:r>
    </w:p>
    <w:p w14:paraId="3068E826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</w:p>
    <w:p w14:paraId="439EBBAB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</w:p>
    <w:p w14:paraId="6334708D" w14:textId="3B925C00" w:rsidR="00641DA2" w:rsidRDefault="00107B6E" w:rsidP="00107B6E">
      <w:pPr>
        <w:pStyle w:val="ConsPlusNormal"/>
        <w:jc w:val="right"/>
        <w:rPr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6DCEAE5B" w14:textId="77777777" w:rsidR="00641DA2" w:rsidRDefault="00641DA2" w:rsidP="00641DA2">
      <w:pPr>
        <w:widowControl w:val="0"/>
        <w:jc w:val="right"/>
        <w:rPr>
          <w:sz w:val="28"/>
          <w:szCs w:val="28"/>
        </w:rPr>
      </w:pPr>
    </w:p>
    <w:p w14:paraId="2D03D0CC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066DDFC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14:paraId="402E9B93" w14:textId="77777777" w:rsidR="00641DA2" w:rsidRDefault="00641DA2" w:rsidP="00641DA2">
      <w:pPr>
        <w:widowControl w:val="0"/>
        <w:jc w:val="both"/>
        <w:rPr>
          <w:i/>
          <w:sz w:val="8"/>
          <w:szCs w:val="8"/>
        </w:rPr>
      </w:pPr>
    </w:p>
    <w:p w14:paraId="185C331C" w14:textId="6F7E03D8" w:rsidR="00641DA2" w:rsidRPr="00641DA2" w:rsidRDefault="00641DA2" w:rsidP="008F34B4">
      <w:pPr>
        <w:widowControl w:val="0"/>
        <w:jc w:val="both"/>
      </w:pPr>
      <w:r>
        <w:rPr>
          <w:i/>
          <w:sz w:val="28"/>
          <w:szCs w:val="28"/>
        </w:rPr>
        <w:t xml:space="preserve"> </w:t>
      </w:r>
    </w:p>
    <w:p w14:paraId="24217258" w14:textId="41D0068E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 xml:space="preserve">1. Оценка результативности и эффективности деятельности контрольного органа в части осуществления муниципального </w:t>
      </w:r>
      <w:r w:rsidR="0097653D">
        <w:rPr>
          <w:sz w:val="28"/>
          <w:szCs w:val="28"/>
        </w:rPr>
        <w:t>жилищного</w:t>
      </w:r>
      <w:r w:rsidRPr="0047241B">
        <w:rPr>
          <w:sz w:val="28"/>
          <w:szCs w:val="28"/>
        </w:rPr>
        <w:t xml:space="preserve"> контроля осуществляется на основе системы показателей результативности и эффективности.</w:t>
      </w:r>
    </w:p>
    <w:p w14:paraId="322C6426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14:paraId="6C0AD8E6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772FDA40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01D4BC45" w14:textId="3329B475" w:rsidR="00641DA2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14:paraId="59474FA6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3.1. Ключевой показатель:</w:t>
      </w:r>
    </w:p>
    <w:p w14:paraId="3B889AC9" w14:textId="1562AA24" w:rsidR="00F77159" w:rsidRP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 xml:space="preserve">Количество погибших / травмированных в результате нарушения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 на </w:t>
      </w:r>
      <w:r>
        <w:rPr>
          <w:sz w:val="28"/>
          <w:szCs w:val="28"/>
        </w:rPr>
        <w:t xml:space="preserve">количество </w:t>
      </w:r>
      <w:r w:rsidRPr="00F77159">
        <w:rPr>
          <w:sz w:val="28"/>
          <w:szCs w:val="28"/>
        </w:rPr>
        <w:t>жителей (человек);</w:t>
      </w:r>
    </w:p>
    <w:p w14:paraId="523D2E3B" w14:textId="02A6E2EC" w:rsid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>Количество людей, получивших тяжкий вред (ущерб) здоровью в результате ненадлежащего содержания общего имущества многоквартирного дома, а также при предоставлении коммунальных услуг, человек;</w:t>
      </w:r>
    </w:p>
    <w:p w14:paraId="6A8879B7" w14:textId="0173CAF1" w:rsidR="00F77159" w:rsidRP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>Материальный ущерб, причиненный муниципальному жилищному фонду, в результате несоблюдения обязательных требований, указанных в пунктах 1 – 12 части 1 статьи 20 Жилищного кодекса Российской Федерации;</w:t>
      </w:r>
    </w:p>
    <w:p w14:paraId="10B24ECE" w14:textId="77777777" w:rsidR="00F77159" w:rsidRP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</w:t>
      </w:r>
      <w:r w:rsidRPr="00F77159">
        <w:rPr>
          <w:sz w:val="28"/>
          <w:szCs w:val="28"/>
        </w:rPr>
        <w:lastRenderedPageBreak/>
        <w:t>собственникам и пользователям помещений в многоквартирных домах и жилых домов, в процентах от валового регионального продукта;</w:t>
      </w:r>
    </w:p>
    <w:p w14:paraId="2385E8D7" w14:textId="77777777" w:rsidR="00F77159" w:rsidRP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>Материальный ущерб граждан в результате выявленных нарушений порядка начисления платы за коммунальные услуги по отношению к валовому региональному продукту (млн руб.);</w:t>
      </w:r>
    </w:p>
    <w:p w14:paraId="764F7694" w14:textId="77777777" w:rsidR="00F77159" w:rsidRDefault="00F77159" w:rsidP="00F77159">
      <w:pPr>
        <w:ind w:firstLine="709"/>
        <w:jc w:val="both"/>
        <w:rPr>
          <w:sz w:val="28"/>
          <w:szCs w:val="28"/>
        </w:rPr>
      </w:pPr>
      <w:r w:rsidRPr="00F77159">
        <w:rPr>
          <w:sz w:val="28"/>
          <w:szCs w:val="28"/>
        </w:rPr>
        <w:t>–</w:t>
      </w:r>
      <w:r w:rsidRPr="00F77159">
        <w:rPr>
          <w:sz w:val="28"/>
          <w:szCs w:val="28"/>
        </w:rPr>
        <w:tab/>
        <w:t>Иные аналогичные формулировки.</w:t>
      </w:r>
    </w:p>
    <w:p w14:paraId="41232813" w14:textId="7E17E8EB" w:rsidR="00641DA2" w:rsidRPr="0047241B" w:rsidRDefault="00641DA2" w:rsidP="00F77159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Целевое значение ключевого показателя: 0,5% и менее.</w:t>
      </w:r>
    </w:p>
    <w:p w14:paraId="7CC529F4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Значение указанного ключевого показателя рассчитывается по формуле:</w:t>
      </w:r>
    </w:p>
    <w:p w14:paraId="32E779AA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 </w:t>
      </w:r>
    </w:p>
    <w:p w14:paraId="75334AB1" w14:textId="2FB51008" w:rsidR="00641DA2" w:rsidRPr="0047241B" w:rsidRDefault="001553A1" w:rsidP="0097653D">
      <w:pPr>
        <w:ind w:firstLine="709"/>
        <w:jc w:val="both"/>
        <w:rPr>
          <w:sz w:val="28"/>
          <w:szCs w:val="28"/>
        </w:rPr>
      </w:pPr>
      <w:r w:rsidRPr="001553A1">
        <w:rPr>
          <w:sz w:val="28"/>
          <w:szCs w:val="28"/>
        </w:rPr>
        <w:t>КП = А/С х 100</w:t>
      </w:r>
      <w:r w:rsidR="00641DA2" w:rsidRPr="0047241B">
        <w:rPr>
          <w:sz w:val="28"/>
          <w:szCs w:val="28"/>
        </w:rPr>
        <w:t>%, где</w:t>
      </w:r>
    </w:p>
    <w:p w14:paraId="4BC563A2" w14:textId="77777777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> </w:t>
      </w:r>
    </w:p>
    <w:p w14:paraId="6E8C1717" w14:textId="735F4273" w:rsidR="00641DA2" w:rsidRPr="0047241B" w:rsidRDefault="00641DA2" w:rsidP="0097653D">
      <w:pPr>
        <w:ind w:firstLine="709"/>
        <w:jc w:val="both"/>
        <w:rPr>
          <w:sz w:val="28"/>
          <w:szCs w:val="28"/>
        </w:rPr>
      </w:pPr>
      <w:r w:rsidRPr="0047241B">
        <w:rPr>
          <w:sz w:val="28"/>
          <w:szCs w:val="28"/>
        </w:rPr>
        <w:t xml:space="preserve">КП - </w:t>
      </w:r>
      <w:r w:rsidR="001553A1" w:rsidRPr="001553A1">
        <w:rPr>
          <w:sz w:val="28"/>
          <w:szCs w:val="28"/>
        </w:rPr>
        <w:t>ключевой показатель;</w:t>
      </w:r>
    </w:p>
    <w:p w14:paraId="0F5EB403" w14:textId="7B6BEB99" w:rsidR="00641DA2" w:rsidRPr="0047241B" w:rsidRDefault="001553A1" w:rsidP="0097653D">
      <w:pPr>
        <w:ind w:firstLine="709"/>
        <w:jc w:val="both"/>
        <w:rPr>
          <w:sz w:val="28"/>
          <w:szCs w:val="28"/>
        </w:rPr>
      </w:pPr>
      <w:r w:rsidRPr="001553A1">
        <w:rPr>
          <w:sz w:val="28"/>
          <w:szCs w:val="28"/>
        </w:rPr>
        <w:t>А — количество граждан, проживающих в муниципальном жилом фонде, пострадавших в результате нарушения обязательных требований;</w:t>
      </w:r>
    </w:p>
    <w:p w14:paraId="3F2C84DF" w14:textId="185927A0" w:rsidR="00641DA2" w:rsidRPr="0047241B" w:rsidRDefault="001553A1" w:rsidP="0097653D">
      <w:pPr>
        <w:ind w:firstLine="709"/>
        <w:jc w:val="both"/>
        <w:rPr>
          <w:sz w:val="28"/>
          <w:szCs w:val="28"/>
        </w:rPr>
      </w:pPr>
      <w:r w:rsidRPr="001553A1">
        <w:rPr>
          <w:sz w:val="28"/>
          <w:szCs w:val="28"/>
        </w:rPr>
        <w:t xml:space="preserve">С — численность граждан, проживающих </w:t>
      </w:r>
      <w:r w:rsidR="00641DA2" w:rsidRPr="0047241B">
        <w:rPr>
          <w:sz w:val="28"/>
          <w:szCs w:val="28"/>
        </w:rPr>
        <w:t xml:space="preserve">на территории </w:t>
      </w:r>
      <w:r w:rsidR="00641DA2">
        <w:rPr>
          <w:sz w:val="28"/>
          <w:szCs w:val="28"/>
        </w:rPr>
        <w:t xml:space="preserve">сельского поселения </w:t>
      </w:r>
      <w:r w:rsidR="00A6613C">
        <w:rPr>
          <w:sz w:val="28"/>
          <w:szCs w:val="28"/>
        </w:rPr>
        <w:t>Цингалы</w:t>
      </w:r>
      <w:r w:rsidR="00641DA2">
        <w:rPr>
          <w:sz w:val="28"/>
          <w:szCs w:val="28"/>
        </w:rPr>
        <w:t>.</w:t>
      </w:r>
    </w:p>
    <w:p w14:paraId="29F2382E" w14:textId="77777777" w:rsidR="00641DA2" w:rsidRPr="00641DA2" w:rsidRDefault="00641DA2" w:rsidP="0097653D">
      <w:pPr>
        <w:pStyle w:val="a5"/>
        <w:ind w:firstLine="708"/>
        <w:jc w:val="both"/>
        <w:rPr>
          <w:color w:val="000000"/>
          <w:sz w:val="28"/>
          <w:szCs w:val="28"/>
          <w:highlight w:val="white"/>
          <w:lang w:val="ru-RU"/>
        </w:rPr>
      </w:pPr>
      <w:r w:rsidRPr="00641DA2">
        <w:rPr>
          <w:sz w:val="28"/>
          <w:szCs w:val="28"/>
          <w:lang w:val="ru-RU"/>
        </w:rPr>
        <w:t>3.2. Индикативные показатели</w:t>
      </w:r>
    </w:p>
    <w:p w14:paraId="4C61F608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14:paraId="65286905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5A51D608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общее количество контрольных мероприятий со взаимодействием, проведенных за отчетный период;</w:t>
      </w:r>
    </w:p>
    <w:p w14:paraId="108CDC5B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06EE54AC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0032F426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3DCD08FB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DDE6158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5749653A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35BD5071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3AC3C7E2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03D7F1DC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0E6646B6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14:paraId="04B37A07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745D2413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14:paraId="343DDC52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443A1386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030BDE70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79613198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20B89C4B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</w:rPr>
        <w:t> </w:t>
      </w:r>
    </w:p>
    <w:p w14:paraId="6550AE67" w14:textId="77777777" w:rsidR="00641DA2" w:rsidRPr="00641DA2" w:rsidRDefault="00641DA2" w:rsidP="0097653D">
      <w:pPr>
        <w:pStyle w:val="a5"/>
        <w:ind w:firstLine="708"/>
        <w:jc w:val="both"/>
        <w:rPr>
          <w:sz w:val="28"/>
          <w:szCs w:val="28"/>
          <w:u w:val="single"/>
          <w:lang w:val="ru-RU"/>
        </w:rPr>
      </w:pPr>
    </w:p>
    <w:p w14:paraId="633F985B" w14:textId="77777777" w:rsidR="00641DA2" w:rsidRDefault="00641DA2" w:rsidP="0097653D">
      <w:pPr>
        <w:pStyle w:val="ConsPlusNormal"/>
        <w:jc w:val="both"/>
        <w:outlineLvl w:val="1"/>
      </w:pPr>
    </w:p>
    <w:p w14:paraId="19C4CD54" w14:textId="77777777" w:rsidR="00641DA2" w:rsidRDefault="00641DA2" w:rsidP="0097653D">
      <w:pPr>
        <w:pStyle w:val="ConsPlusNormal"/>
        <w:jc w:val="both"/>
        <w:outlineLvl w:val="1"/>
      </w:pPr>
    </w:p>
    <w:p w14:paraId="2E05C311" w14:textId="77777777" w:rsidR="00641DA2" w:rsidRDefault="00641DA2" w:rsidP="0097653D">
      <w:pPr>
        <w:pStyle w:val="ConsPlusNormal"/>
        <w:jc w:val="both"/>
        <w:outlineLvl w:val="1"/>
      </w:pPr>
    </w:p>
    <w:p w14:paraId="2E193BD1" w14:textId="77777777" w:rsidR="00641DA2" w:rsidRDefault="00641DA2" w:rsidP="0097653D">
      <w:pPr>
        <w:pStyle w:val="ConsPlusNormal"/>
        <w:jc w:val="both"/>
        <w:outlineLvl w:val="1"/>
      </w:pPr>
    </w:p>
    <w:p w14:paraId="19189632" w14:textId="77777777" w:rsidR="00641DA2" w:rsidRDefault="00641DA2" w:rsidP="0097653D">
      <w:pPr>
        <w:pStyle w:val="ConsPlusNormal"/>
        <w:jc w:val="both"/>
        <w:outlineLvl w:val="1"/>
      </w:pPr>
    </w:p>
    <w:p w14:paraId="5F46CAC3" w14:textId="77777777" w:rsidR="00641DA2" w:rsidRDefault="00641DA2" w:rsidP="0097653D">
      <w:pPr>
        <w:pStyle w:val="ConsPlusNormal"/>
        <w:jc w:val="both"/>
        <w:outlineLvl w:val="1"/>
      </w:pPr>
    </w:p>
    <w:p w14:paraId="39DD896F" w14:textId="77777777" w:rsidR="00641DA2" w:rsidRDefault="00641DA2" w:rsidP="009765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EE4510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DC333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A53B2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DBB2F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6D437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C1D344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D2C9E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98292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6F0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721D37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D7991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195748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364106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6941D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0EE96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1E207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D13B3E" w14:textId="506659A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8A099A" w14:textId="279F19AF" w:rsidR="008F34B4" w:rsidRDefault="008F34B4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A92605" w14:textId="7D244BD1" w:rsidR="008F34B4" w:rsidRDefault="008F34B4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7D89BF" w14:textId="77777777" w:rsidR="008F34B4" w:rsidRDefault="008F34B4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3332B8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6C9E839A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к Положению об осуществлении</w:t>
      </w:r>
    </w:p>
    <w:p w14:paraId="182B9186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</w:p>
    <w:p w14:paraId="5A7A8EC8" w14:textId="77777777" w:rsidR="00107B6E" w:rsidRPr="00107B6E" w:rsidRDefault="00107B6E" w:rsidP="00107B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B6E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</w:p>
    <w:p w14:paraId="4C15FEFE" w14:textId="2AC464FA" w:rsidR="00641DA2" w:rsidRDefault="00107B6E" w:rsidP="00107B6E">
      <w:pPr>
        <w:pStyle w:val="ConsPlusNormal"/>
        <w:jc w:val="right"/>
      </w:pPr>
      <w:r w:rsidRPr="00107B6E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02E43E21" w14:textId="77777777" w:rsidR="00641DA2" w:rsidRDefault="00641DA2" w:rsidP="00641DA2">
      <w:pPr>
        <w:pStyle w:val="ConsPlusTitle"/>
        <w:jc w:val="center"/>
      </w:pPr>
      <w:bookmarkStart w:id="1" w:name="undefined"/>
      <w:bookmarkEnd w:id="1"/>
    </w:p>
    <w:p w14:paraId="09302207" w14:textId="77777777" w:rsidR="00641DA2" w:rsidRDefault="00641DA2" w:rsidP="00641DA2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1696163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14:paraId="1A277FE2" w14:textId="4186F249" w:rsidR="00641DA2" w:rsidRDefault="00641DA2" w:rsidP="001553A1">
      <w:pPr>
        <w:tabs>
          <w:tab w:val="left" w:pos="7698"/>
        </w:tabs>
        <w:rPr>
          <w:sz w:val="28"/>
          <w:szCs w:val="28"/>
        </w:rPr>
      </w:pPr>
    </w:p>
    <w:p w14:paraId="1EB783CF" w14:textId="218879E5" w:rsidR="001553A1" w:rsidRDefault="001553A1" w:rsidP="001553A1">
      <w:pPr>
        <w:widowControl w:val="0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Pr="001553A1">
        <w:rPr>
          <w:sz w:val="28"/>
          <w:szCs w:val="28"/>
        </w:rPr>
        <w:t>муниципального жилищного контроля</w:t>
      </w:r>
      <w:r>
        <w:rPr>
          <w:sz w:val="28"/>
          <w:szCs w:val="28"/>
        </w:rPr>
        <w:t xml:space="preserve"> </w:t>
      </w:r>
      <w:r w:rsidRPr="001553A1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отнесению к категориям </w:t>
      </w:r>
      <w:r w:rsidRPr="001553A1">
        <w:rPr>
          <w:sz w:val="28"/>
          <w:szCs w:val="28"/>
        </w:rPr>
        <w:t>среднего, умеренного и низкого риска</w:t>
      </w:r>
      <w:r>
        <w:rPr>
          <w:i/>
        </w:rPr>
        <w:t>.</w:t>
      </w:r>
    </w:p>
    <w:p w14:paraId="45E8FF1A" w14:textId="57F3080B" w:rsidR="001553A1" w:rsidRDefault="001553A1" w:rsidP="00CB6FE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6FE5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168F6968" w14:textId="12786D56" w:rsidR="001553A1" w:rsidRDefault="001553A1" w:rsidP="001553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</w:t>
      </w:r>
      <w:r w:rsidR="00CB6FE5" w:rsidRPr="00CB6FE5">
        <w:rPr>
          <w:bCs/>
          <w:sz w:val="28"/>
          <w:szCs w:val="28"/>
        </w:rPr>
        <w:t xml:space="preserve"> 7.21, 7.22, 7.23</w:t>
      </w:r>
      <w:r>
        <w:rPr>
          <w:bCs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14:paraId="16CB6FE9" w14:textId="77777777" w:rsidR="001553A1" w:rsidRDefault="001553A1" w:rsidP="001553A1">
      <w:pPr>
        <w:widowControl w:val="0"/>
        <w:ind w:firstLine="720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14:paraId="1590E8CE" w14:textId="7F592E00" w:rsidR="001553A1" w:rsidRDefault="00CB6FE5" w:rsidP="001553A1">
      <w:pPr>
        <w:widowControl w:val="0"/>
        <w:ind w:firstLine="720"/>
        <w:jc w:val="both"/>
      </w:pPr>
      <w:r>
        <w:rPr>
          <w:bCs/>
          <w:sz w:val="28"/>
          <w:szCs w:val="28"/>
        </w:rPr>
        <w:t>3</w:t>
      </w:r>
      <w:r w:rsidR="001553A1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733FF249" w14:textId="44F2BC5B" w:rsidR="001553A1" w:rsidRDefault="00CB6FE5" w:rsidP="001553A1">
      <w:pPr>
        <w:widowControl w:val="0"/>
        <w:ind w:firstLine="720"/>
        <w:jc w:val="both"/>
      </w:pPr>
      <w:r>
        <w:rPr>
          <w:bCs/>
          <w:sz w:val="28"/>
          <w:szCs w:val="28"/>
        </w:rPr>
        <w:t>4</w:t>
      </w:r>
      <w:r w:rsidR="001553A1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1553A1">
        <w:rPr>
          <w:sz w:val="28"/>
          <w:szCs w:val="28"/>
        </w:rPr>
        <w:t>среднего и умеренного</w:t>
      </w:r>
      <w:r w:rsidR="001553A1">
        <w:rPr>
          <w:bCs/>
          <w:sz w:val="28"/>
          <w:szCs w:val="28"/>
        </w:rPr>
        <w:t xml:space="preserve"> риска</w:t>
      </w:r>
      <w:r>
        <w:rPr>
          <w:bCs/>
          <w:sz w:val="28"/>
          <w:szCs w:val="28"/>
        </w:rPr>
        <w:t>.</w:t>
      </w:r>
    </w:p>
    <w:p w14:paraId="7109C42A" w14:textId="77777777" w:rsidR="001553A1" w:rsidRDefault="001553A1" w:rsidP="001553A1">
      <w:pPr>
        <w:tabs>
          <w:tab w:val="left" w:pos="7698"/>
        </w:tabs>
        <w:rPr>
          <w:sz w:val="28"/>
          <w:szCs w:val="28"/>
        </w:rPr>
      </w:pPr>
    </w:p>
    <w:p w14:paraId="7861B699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57A70B72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3E6F0063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436EA5FD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7EC95696" w14:textId="0D0BA5E4" w:rsidR="00641DA2" w:rsidRDefault="00641DA2" w:rsidP="00255C17">
      <w:pPr>
        <w:rPr>
          <w:sz w:val="28"/>
          <w:szCs w:val="28"/>
        </w:rPr>
      </w:pPr>
    </w:p>
    <w:p w14:paraId="12E7D6CD" w14:textId="63282813" w:rsidR="00641DA2" w:rsidRDefault="00641DA2" w:rsidP="00255C17">
      <w:pPr>
        <w:rPr>
          <w:sz w:val="28"/>
          <w:szCs w:val="28"/>
        </w:rPr>
      </w:pPr>
    </w:p>
    <w:p w14:paraId="7125B842" w14:textId="4F1ABD4D" w:rsidR="00641DA2" w:rsidRDefault="00641DA2" w:rsidP="00255C17">
      <w:pPr>
        <w:rPr>
          <w:sz w:val="28"/>
          <w:szCs w:val="28"/>
        </w:rPr>
      </w:pPr>
    </w:p>
    <w:p w14:paraId="4FDD2098" w14:textId="77777777" w:rsidR="00641DA2" w:rsidRPr="001F7F02" w:rsidRDefault="00641DA2" w:rsidP="00255C17">
      <w:pPr>
        <w:rPr>
          <w:sz w:val="28"/>
          <w:szCs w:val="28"/>
        </w:rPr>
      </w:pPr>
    </w:p>
    <w:sectPr w:rsidR="00641DA2" w:rsidRPr="001F7F02" w:rsidSect="00F577F9">
      <w:pgSz w:w="11906" w:h="16838"/>
      <w:pgMar w:top="1134" w:right="99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hybridMultilevel"/>
    <w:tmpl w:val="439045F6"/>
    <w:lvl w:ilvl="0" w:tplc="5AB425D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0885093"/>
    <w:multiLevelType w:val="hybridMultilevel"/>
    <w:tmpl w:val="7D744DA0"/>
    <w:lvl w:ilvl="0" w:tplc="86783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0E8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100FCA"/>
    <w:rsid w:val="00107B6E"/>
    <w:rsid w:val="00114F66"/>
    <w:rsid w:val="00115044"/>
    <w:rsid w:val="001553A1"/>
    <w:rsid w:val="001757B7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490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B062A"/>
    <w:rsid w:val="004E368F"/>
    <w:rsid w:val="004E3F3F"/>
    <w:rsid w:val="004E7458"/>
    <w:rsid w:val="00516ADC"/>
    <w:rsid w:val="00520681"/>
    <w:rsid w:val="00542C0A"/>
    <w:rsid w:val="00553641"/>
    <w:rsid w:val="0056294A"/>
    <w:rsid w:val="00566D93"/>
    <w:rsid w:val="0057120A"/>
    <w:rsid w:val="005A1845"/>
    <w:rsid w:val="005A77EE"/>
    <w:rsid w:val="005C511F"/>
    <w:rsid w:val="0060108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41460"/>
    <w:rsid w:val="007607CC"/>
    <w:rsid w:val="0076117C"/>
    <w:rsid w:val="007619FB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480C"/>
    <w:rsid w:val="0085735A"/>
    <w:rsid w:val="0086270F"/>
    <w:rsid w:val="00871552"/>
    <w:rsid w:val="00885FC2"/>
    <w:rsid w:val="00887CCB"/>
    <w:rsid w:val="00894074"/>
    <w:rsid w:val="008C25A9"/>
    <w:rsid w:val="008C2E1C"/>
    <w:rsid w:val="008D452D"/>
    <w:rsid w:val="008F34B4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7653D"/>
    <w:rsid w:val="00980105"/>
    <w:rsid w:val="009B4DEB"/>
    <w:rsid w:val="009D77F0"/>
    <w:rsid w:val="009E3E2D"/>
    <w:rsid w:val="009E5799"/>
    <w:rsid w:val="009F4F18"/>
    <w:rsid w:val="009F73FE"/>
    <w:rsid w:val="00A043AB"/>
    <w:rsid w:val="00A3139F"/>
    <w:rsid w:val="00A324E1"/>
    <w:rsid w:val="00A4146E"/>
    <w:rsid w:val="00A47ACE"/>
    <w:rsid w:val="00A53EDD"/>
    <w:rsid w:val="00A6613C"/>
    <w:rsid w:val="00A9047D"/>
    <w:rsid w:val="00A966F9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B6FE5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C6463"/>
    <w:rsid w:val="00ED67F2"/>
    <w:rsid w:val="00EE02CC"/>
    <w:rsid w:val="00EF3D69"/>
    <w:rsid w:val="00EF75AC"/>
    <w:rsid w:val="00F26C8C"/>
    <w:rsid w:val="00F45EFF"/>
    <w:rsid w:val="00F504D7"/>
    <w:rsid w:val="00F577F9"/>
    <w:rsid w:val="00F733DE"/>
    <w:rsid w:val="00F73B14"/>
    <w:rsid w:val="00F77159"/>
    <w:rsid w:val="00FA047E"/>
    <w:rsid w:val="00FA4FF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6752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45155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7</cp:revision>
  <cp:lastPrinted>2025-11-25T05:38:00Z</cp:lastPrinted>
  <dcterms:created xsi:type="dcterms:W3CDTF">2025-10-29T08:28:00Z</dcterms:created>
  <dcterms:modified xsi:type="dcterms:W3CDTF">2025-11-25T05:38:00Z</dcterms:modified>
</cp:coreProperties>
</file>